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E5DA" w14:textId="1E78C859" w:rsidR="00FA0439" w:rsidRPr="004C6EFA" w:rsidRDefault="004C6EFA" w:rsidP="004C6EFA">
      <w:pPr>
        <w:pStyle w:val="Heading1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EF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Declaration of Protective Deed Restrictions for </w:t>
      </w:r>
      <w:r w:rsidR="00414B4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Weaver Farms</w:t>
      </w:r>
    </w:p>
    <w:p w14:paraId="11EEC9E5" w14:textId="77777777" w:rsidR="004C6EFA" w:rsidRDefault="004C6EFA" w:rsidP="004C6EFA">
      <w:pPr>
        <w:jc w:val="center"/>
        <w:rPr>
          <w:b/>
          <w:bCs/>
          <w:sz w:val="32"/>
          <w:szCs w:val="32"/>
        </w:rPr>
      </w:pPr>
      <w:r w:rsidRPr="004C6EFA">
        <w:rPr>
          <w:b/>
          <w:bCs/>
          <w:sz w:val="32"/>
          <w:szCs w:val="32"/>
        </w:rPr>
        <w:t>A Residential Subdivision</w:t>
      </w:r>
    </w:p>
    <w:p w14:paraId="10C406AC" w14:textId="77777777" w:rsidR="004C6EFA" w:rsidRDefault="004C6EFA" w:rsidP="004C6EFA">
      <w:pPr>
        <w:jc w:val="center"/>
        <w:rPr>
          <w:b/>
          <w:bCs/>
          <w:sz w:val="32"/>
          <w:szCs w:val="32"/>
        </w:rPr>
      </w:pPr>
    </w:p>
    <w:p w14:paraId="4B40BBF7" w14:textId="77777777" w:rsidR="004C6EFA" w:rsidRDefault="004C6EFA" w:rsidP="004C6E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EFA">
        <w:rPr>
          <w:sz w:val="24"/>
          <w:szCs w:val="24"/>
        </w:rPr>
        <w:t>No mobile or manufactured homes shall be allowed on any lot.</w:t>
      </w:r>
    </w:p>
    <w:p w14:paraId="0D77D783" w14:textId="77777777" w:rsidR="004C6EFA" w:rsidRDefault="004C6EFA" w:rsidP="004C6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Minimum floor area shall be 2,000 square feet living area for a one-story residence and 2,500 square feet for a one-half story.</w:t>
      </w:r>
    </w:p>
    <w:p w14:paraId="49937BD4" w14:textId="77777777" w:rsidR="004C6EFA" w:rsidRDefault="004C6EFA" w:rsidP="004C6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boats, trailers, or recreational vehicles may be parked in any location that can be seen from the road for a period in excess of 48 hours, provided boats and recreational vehicles and like may be stored indefinitely if they are stored in such a manner that they are incapable of being seen by another lot or home site. </w:t>
      </w:r>
    </w:p>
    <w:p w14:paraId="3A02598B" w14:textId="02C17B0B" w:rsidR="004C6EFA" w:rsidRPr="004C6EFA" w:rsidRDefault="004C6EFA" w:rsidP="004C6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lot owner intending to install a fence along the</w:t>
      </w:r>
      <w:r w:rsidR="00414B4C">
        <w:rPr>
          <w:sz w:val="24"/>
          <w:szCs w:val="24"/>
        </w:rPr>
        <w:t xml:space="preserve"> </w:t>
      </w:r>
      <w:proofErr w:type="spellStart"/>
      <w:r w:rsidR="00414B4C">
        <w:rPr>
          <w:sz w:val="24"/>
          <w:szCs w:val="24"/>
        </w:rPr>
        <w:t>Ronbar</w:t>
      </w:r>
      <w:proofErr w:type="spellEnd"/>
      <w:r w:rsidR="00414B4C">
        <w:rPr>
          <w:sz w:val="24"/>
          <w:szCs w:val="24"/>
        </w:rPr>
        <w:t xml:space="preserve"> Rd.</w:t>
      </w:r>
      <w:r>
        <w:rPr>
          <w:sz w:val="24"/>
          <w:szCs w:val="24"/>
        </w:rPr>
        <w:t xml:space="preserve"> frontage portion of the lot must construct a four-rail split fence using square posts and 2”x 6” slats with a black finish, in order to maintain uniformity along the roadway.  </w:t>
      </w:r>
    </w:p>
    <w:sectPr w:rsidR="004C6EFA" w:rsidRPr="004C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5861"/>
    <w:multiLevelType w:val="hybridMultilevel"/>
    <w:tmpl w:val="B9CAF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84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FA"/>
    <w:rsid w:val="00414B4C"/>
    <w:rsid w:val="004C6EFA"/>
    <w:rsid w:val="00F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572B"/>
  <w15:chartTrackingRefBased/>
  <w15:docId w15:val="{F6AEF4A3-BDEE-46AB-AE4B-5FD877A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davis</dc:creator>
  <cp:keywords/>
  <dc:description/>
  <cp:lastModifiedBy>wes davis</cp:lastModifiedBy>
  <cp:revision>2</cp:revision>
  <cp:lastPrinted>2021-04-13T15:29:00Z</cp:lastPrinted>
  <dcterms:created xsi:type="dcterms:W3CDTF">2022-04-06T18:20:00Z</dcterms:created>
  <dcterms:modified xsi:type="dcterms:W3CDTF">2022-04-06T18:20:00Z</dcterms:modified>
</cp:coreProperties>
</file>